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Nama : </w:t>
      </w:r>
      <w:r w:rsidRPr="00AA36FB">
        <w:rPr>
          <w:rStyle w:val="Strong"/>
          <w:rFonts w:ascii="Tahoma" w:hAnsi="Tahoma" w:cs="Tahoma"/>
          <w:color w:val="363434"/>
          <w:sz w:val="22"/>
          <w:szCs w:val="22"/>
        </w:rPr>
        <w:t>Anita Mayasari, S.Hut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Jabatan Peneliti : Calon Peneliti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Kepakaran : Konservasi Sumber Daya Alam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email : </w:t>
      </w:r>
      <w:hyperlink r:id="rId5" w:history="1">
        <w:r w:rsidRPr="00AA36FB">
          <w:rPr>
            <w:rStyle w:val="Hyperlink"/>
            <w:rFonts w:ascii="Tahoma" w:hAnsi="Tahoma" w:cs="Tahoma"/>
            <w:color w:val="006198"/>
            <w:sz w:val="22"/>
            <w:szCs w:val="22"/>
          </w:rPr>
          <w:t xml:space="preserve"> </w:t>
        </w:r>
      </w:hyperlink>
      <w:hyperlink r:id="rId6" w:history="1">
        <w:r w:rsidRPr="00AA36FB">
          <w:rPr>
            <w:rStyle w:val="Hyperlink"/>
            <w:rFonts w:ascii="Tahoma" w:hAnsi="Tahoma" w:cs="Tahoma"/>
            <w:sz w:val="22"/>
            <w:szCs w:val="22"/>
          </w:rPr>
          <w:t>anita.mayasari11@gmail.com</w:t>
        </w:r>
      </w:hyperlink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 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Pendidikan :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SDN Kademangan 1 Probolinggo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2. SLTPN 1 Probolinggo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3. SMAN 1 Probolinggo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 xml:space="preserve">4. S1 Kehutanan - Universitas Gajah Mada 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Riwayat Pekerjaan :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Peneliti Badan Litbang Kementerian Kehutanan 2010-Sekarang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Style w:val="Strong"/>
          <w:rFonts w:ascii="Tahoma" w:hAnsi="Tahoma" w:cs="Tahoma"/>
          <w:color w:val="363434"/>
          <w:sz w:val="22"/>
          <w:szCs w:val="22"/>
          <w:u w:val="single"/>
        </w:rPr>
        <w:t>Karya Tulis Ilmiah :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1. Keanekaragaman Jenis Bambu, Pemanfaatan dan Potensi Penembangan di TN Alas Purwo (MAPEKI 2011)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2. Nyatoh (Palaguium sp) Berpotensi Tinggi Sebagai bahan Konstruksi di Sulawesi Utara (Mapeki 2011)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3. Peluang Konservasi Ex-situ Burung Sampari (Eos histro) melalui Penangkaran (Ekspose Balai 2011)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4. Potensi dan Strategi Pengelolaan Sumber Plasma Nutfah jenis Pohon di CA Tangkoko (Ekpose Balai 2011)</w:t>
      </w:r>
    </w:p>
    <w:p w:rsidR="00526E01" w:rsidRPr="00AA36FB" w:rsidRDefault="00526E01" w:rsidP="00526E01">
      <w:pPr>
        <w:pStyle w:val="NormalWeb"/>
        <w:shd w:val="clear" w:color="auto" w:fill="F2F2F2"/>
        <w:spacing w:before="0" w:beforeAutospacing="0" w:after="0" w:afterAutospacing="0"/>
        <w:rPr>
          <w:rFonts w:ascii="Tahoma" w:hAnsi="Tahoma" w:cs="Tahoma"/>
          <w:color w:val="363434"/>
          <w:sz w:val="22"/>
          <w:szCs w:val="22"/>
        </w:rPr>
      </w:pPr>
      <w:r w:rsidRPr="00AA36FB">
        <w:rPr>
          <w:rFonts w:ascii="Tahoma" w:hAnsi="Tahoma" w:cs="Tahoma"/>
          <w:color w:val="363434"/>
          <w:sz w:val="22"/>
          <w:szCs w:val="22"/>
        </w:rPr>
        <w:t>5. Keanekaragaman Jenis dan Potensi suku Euparbiaceae di CA Tangkoko (INAFOR 2011)</w:t>
      </w:r>
    </w:p>
    <w:p w:rsidR="00B323DF" w:rsidRDefault="00B323DF">
      <w:bookmarkStart w:id="0" w:name="_GoBack"/>
      <w:bookmarkEnd w:id="0"/>
    </w:p>
    <w:sectPr w:rsidR="00B32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01"/>
    <w:rsid w:val="00526E01"/>
    <w:rsid w:val="00B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26E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6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26E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mayasari11@gmail.com" TargetMode="External"/><Relationship Id="rId5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5764%20=%20%27suryawanbioconserv%27%20+%20%27@%27;%20addy35764%20=%20addy35764%20+%20%27gmail%27%20+%20%27.%27%20+%20%27com%27;%20document.write%28%20%27%3Ca%20%27%20+%20path%20+%20%27%5C%27%27%20+%20prefix%20+%20addy35764%20+%20suffix%20+%20%27%5C%27%27%20+%20attribs%20+%20%27%3E%27%20%29;%20document.write%28%20addy35764%20%29;%20document.write%28%20%27%3C%5C/a%3E%27%20%29;%20//--%3E%20%3C/script%3E%3Cscript%20language=%27JavaScript%27%20type=%27text/javascript%27%3E%20%3C%21--%20document.write%28%20%27%3Cspan%20style=%5C%27display:%20none;%5C%27%3E%27%20%29;%20//--%3E%20%3C/script%3EAlamat%20e-mail%20ini%20diproteksi%20dari%20spabot,%20silahkan%20aktifkan%20Javascript%20untuk%20melihatnya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2013-12-23T02:10:00Z</dcterms:created>
  <dcterms:modified xsi:type="dcterms:W3CDTF">2013-12-23T02:11:00Z</dcterms:modified>
</cp:coreProperties>
</file>